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6" w:type="dxa"/>
        <w:tblInd w:w="-572" w:type="dxa"/>
        <w:tblLook w:val="04A0" w:firstRow="1" w:lastRow="0" w:firstColumn="1" w:lastColumn="0" w:noHBand="0" w:noVBand="1"/>
      </w:tblPr>
      <w:tblGrid>
        <w:gridCol w:w="2835"/>
        <w:gridCol w:w="3774"/>
        <w:gridCol w:w="3907"/>
      </w:tblGrid>
      <w:tr w:rsidR="00F53153" w14:paraId="48410B4F" w14:textId="77777777" w:rsidTr="00731A8F">
        <w:tc>
          <w:tcPr>
            <w:tcW w:w="2835" w:type="dxa"/>
            <w:vAlign w:val="center"/>
          </w:tcPr>
          <w:p w14:paraId="430C59E0" w14:textId="77777777" w:rsidR="00F53153" w:rsidRPr="00F53153" w:rsidRDefault="00F53153" w:rsidP="00F53153">
            <w:pPr>
              <w:jc w:val="center"/>
              <w:rPr>
                <w:highlight w:val="yellow"/>
              </w:rPr>
            </w:pPr>
            <w:r w:rsidRPr="00F53153">
              <w:rPr>
                <w:noProof/>
                <w:highlight w:val="yellow"/>
                <w:lang w:eastAsia="en-AU"/>
              </w:rPr>
              <w:drawing>
                <wp:anchor distT="0" distB="0" distL="114300" distR="114300" simplePos="0" relativeHeight="251658240" behindDoc="1" locked="0" layoutInCell="1" allowOverlap="1" wp14:anchorId="04769A38" wp14:editId="71E6FAAD">
                  <wp:simplePos x="0" y="0"/>
                  <wp:positionH relativeFrom="column">
                    <wp:posOffset>-828040</wp:posOffset>
                  </wp:positionH>
                  <wp:positionV relativeFrom="paragraph">
                    <wp:posOffset>-53340</wp:posOffset>
                  </wp:positionV>
                  <wp:extent cx="1095375" cy="590550"/>
                  <wp:effectExtent l="0" t="0" r="9525" b="0"/>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590550"/>
                          </a:xfrm>
                          <a:prstGeom prst="rect">
                            <a:avLst/>
                          </a:prstGeom>
                        </pic:spPr>
                      </pic:pic>
                    </a:graphicData>
                  </a:graphic>
                  <wp14:sizeRelH relativeFrom="margin">
                    <wp14:pctWidth>0</wp14:pctWidth>
                  </wp14:sizeRelH>
                  <wp14:sizeRelV relativeFrom="margin">
                    <wp14:pctHeight>0</wp14:pctHeight>
                  </wp14:sizeRelV>
                </wp:anchor>
              </w:drawing>
            </w:r>
          </w:p>
        </w:tc>
        <w:tc>
          <w:tcPr>
            <w:tcW w:w="7681"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08CF5970" w:rsidR="00F53153" w:rsidRPr="00F53153" w:rsidRDefault="00B25B77" w:rsidP="00F53153">
            <w:pPr>
              <w:jc w:val="center"/>
              <w:rPr>
                <w:b/>
                <w:sz w:val="52"/>
              </w:rPr>
            </w:pPr>
            <w:r>
              <w:rPr>
                <w:b/>
                <w:sz w:val="52"/>
              </w:rPr>
              <w:t>COMPLAINTS</w:t>
            </w:r>
            <w:r w:rsidR="00F53153" w:rsidRPr="00F53153">
              <w:rPr>
                <w:b/>
                <w:sz w:val="52"/>
              </w:rPr>
              <w:t xml:space="preserve"> POLICY</w:t>
            </w:r>
          </w:p>
          <w:p w14:paraId="7320B15C" w14:textId="77777777" w:rsidR="00F53153" w:rsidRPr="00F53153" w:rsidRDefault="00F53153" w:rsidP="00F53153">
            <w:pPr>
              <w:rPr>
                <w:highlight w:val="yellow"/>
              </w:rPr>
            </w:pPr>
          </w:p>
        </w:tc>
      </w:tr>
      <w:tr w:rsidR="00F53153" w14:paraId="14DADA41" w14:textId="77777777" w:rsidTr="00731A8F">
        <w:tc>
          <w:tcPr>
            <w:tcW w:w="6609" w:type="dxa"/>
            <w:gridSpan w:val="2"/>
          </w:tcPr>
          <w:p w14:paraId="025BBD54"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Policy reveiwed by:</w:t>
            </w:r>
          </w:p>
          <w:p w14:paraId="147AFB03" w14:textId="77777777" w:rsidR="00F53153" w:rsidRPr="00731A8F" w:rsidRDefault="00F53153" w:rsidP="00F53153">
            <w:pPr>
              <w:rPr>
                <w:rFonts w:asciiTheme="minorHAnsi" w:hAnsiTheme="minorHAnsi"/>
                <w:noProof/>
                <w:sz w:val="22"/>
                <w:lang w:eastAsia="en-AU"/>
              </w:rPr>
            </w:pPr>
          </w:p>
          <w:p w14:paraId="4CFC5E1C"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 xml:space="preserve">Kathie Arnold and Jamie Sharp </w:t>
            </w:r>
          </w:p>
        </w:tc>
        <w:tc>
          <w:tcPr>
            <w:tcW w:w="3907" w:type="dxa"/>
            <w:shd w:val="clear" w:color="auto" w:fill="auto"/>
          </w:tcPr>
          <w:p w14:paraId="08B3359C" w14:textId="77777777" w:rsidR="00F53153" w:rsidRPr="00731A8F" w:rsidRDefault="00F53153" w:rsidP="00F53153">
            <w:pPr>
              <w:rPr>
                <w:rFonts w:asciiTheme="minorHAnsi" w:hAnsiTheme="minorHAnsi"/>
                <w:sz w:val="22"/>
              </w:rPr>
            </w:pPr>
            <w:r w:rsidRPr="00731A8F">
              <w:rPr>
                <w:rFonts w:asciiTheme="minorHAnsi" w:hAnsiTheme="minorHAnsi"/>
                <w:sz w:val="22"/>
              </w:rPr>
              <w:t>Ratified at school council:</w:t>
            </w:r>
          </w:p>
          <w:p w14:paraId="02E3E2FC" w14:textId="77777777" w:rsidR="00F53153" w:rsidRPr="00731A8F" w:rsidRDefault="00F53153" w:rsidP="00F53153">
            <w:pPr>
              <w:rPr>
                <w:rFonts w:asciiTheme="minorHAnsi" w:hAnsiTheme="minorHAnsi"/>
                <w:sz w:val="22"/>
              </w:rPr>
            </w:pPr>
          </w:p>
          <w:p w14:paraId="7B879763" w14:textId="77777777" w:rsidR="00F53153" w:rsidRPr="00731A8F" w:rsidRDefault="00F53153" w:rsidP="00F53153">
            <w:pPr>
              <w:rPr>
                <w:rFonts w:asciiTheme="minorHAnsi" w:hAnsiTheme="minorHAnsi"/>
                <w:sz w:val="22"/>
              </w:rPr>
            </w:pPr>
            <w:r w:rsidRPr="00731A8F">
              <w:rPr>
                <w:rFonts w:asciiTheme="minorHAnsi" w:hAnsiTheme="minorHAnsi"/>
                <w:sz w:val="22"/>
              </w:rPr>
              <w:t>To be reviewed:</w:t>
            </w:r>
          </w:p>
          <w:p w14:paraId="0CFBB495" w14:textId="77777777" w:rsidR="00D8201D" w:rsidRPr="00731A8F" w:rsidRDefault="00D8201D" w:rsidP="00F53153">
            <w:pPr>
              <w:rPr>
                <w:rFonts w:asciiTheme="minorHAnsi" w:hAnsiTheme="minorHAnsi"/>
                <w:sz w:val="22"/>
              </w:rPr>
            </w:pPr>
          </w:p>
          <w:p w14:paraId="1BC7B9DD" w14:textId="233C35D0" w:rsidR="00F53153" w:rsidRPr="00731A8F" w:rsidRDefault="00B42EFC" w:rsidP="00F53153">
            <w:pPr>
              <w:rPr>
                <w:rFonts w:asciiTheme="minorHAnsi" w:hAnsiTheme="minorHAnsi"/>
                <w:sz w:val="22"/>
              </w:rPr>
            </w:pPr>
            <w:r w:rsidRPr="00731A8F">
              <w:rPr>
                <w:rFonts w:asciiTheme="minorHAnsi" w:hAnsiTheme="minorHAnsi"/>
                <w:sz w:val="22"/>
              </w:rPr>
              <w:t>September</w:t>
            </w:r>
            <w:r w:rsidR="00D8201D" w:rsidRPr="00731A8F">
              <w:rPr>
                <w:rFonts w:asciiTheme="minorHAnsi" w:hAnsiTheme="minorHAnsi"/>
                <w:sz w:val="22"/>
              </w:rPr>
              <w:t xml:space="preserve"> 2021</w:t>
            </w:r>
          </w:p>
          <w:p w14:paraId="5832184B" w14:textId="77777777" w:rsidR="00F53153" w:rsidRPr="00731A8F" w:rsidRDefault="00F53153" w:rsidP="00F53153">
            <w:pPr>
              <w:rPr>
                <w:rFonts w:asciiTheme="minorHAnsi" w:hAnsiTheme="minorHAnsi"/>
                <w:sz w:val="22"/>
              </w:rPr>
            </w:pPr>
          </w:p>
        </w:tc>
      </w:tr>
      <w:tr w:rsidR="00F53153" w:rsidRPr="00B542B6" w14:paraId="5EEA04DB" w14:textId="77777777" w:rsidTr="00731A8F">
        <w:tc>
          <w:tcPr>
            <w:tcW w:w="10516" w:type="dxa"/>
            <w:gridSpan w:val="3"/>
            <w:shd w:val="clear" w:color="auto" w:fill="C2D69B" w:themeFill="accent3" w:themeFillTint="99"/>
          </w:tcPr>
          <w:p w14:paraId="2AF39D65" w14:textId="2F939018" w:rsidR="00F53153" w:rsidRPr="00F53153" w:rsidRDefault="00544499" w:rsidP="00F53153">
            <w:pPr>
              <w:rPr>
                <w:rFonts w:asciiTheme="minorHAnsi" w:hAnsiTheme="minorHAnsi"/>
                <w:b/>
              </w:rPr>
            </w:pPr>
            <w:r>
              <w:rPr>
                <w:rFonts w:asciiTheme="minorHAnsi" w:hAnsiTheme="minorHAnsi"/>
                <w:b/>
                <w:sz w:val="28"/>
              </w:rPr>
              <w:t>PURPOSE</w:t>
            </w:r>
            <w:r w:rsidR="00F53153" w:rsidRPr="00F53153">
              <w:rPr>
                <w:rFonts w:asciiTheme="minorHAnsi" w:hAnsiTheme="minorHAnsi"/>
                <w:b/>
                <w:sz w:val="28"/>
              </w:rPr>
              <w:t>:</w:t>
            </w:r>
          </w:p>
        </w:tc>
      </w:tr>
      <w:tr w:rsidR="00F53153" w:rsidRPr="00B542B6" w14:paraId="09A693A5" w14:textId="77777777" w:rsidTr="00731A8F">
        <w:tc>
          <w:tcPr>
            <w:tcW w:w="10516" w:type="dxa"/>
            <w:gridSpan w:val="3"/>
            <w:shd w:val="clear" w:color="auto" w:fill="auto"/>
          </w:tcPr>
          <w:p w14:paraId="090082D6" w14:textId="238B9277" w:rsidR="00544499" w:rsidRPr="00544499" w:rsidRDefault="00544499" w:rsidP="00544499">
            <w:pPr>
              <w:jc w:val="both"/>
              <w:rPr>
                <w:rFonts w:asciiTheme="minorHAnsi" w:hAnsiTheme="minorHAnsi"/>
                <w:sz w:val="22"/>
              </w:rPr>
            </w:pPr>
            <w:r w:rsidRPr="00544499">
              <w:rPr>
                <w:rFonts w:asciiTheme="minorHAnsi" w:hAnsiTheme="minorHAnsi"/>
                <w:sz w:val="22"/>
              </w:rPr>
              <w:t xml:space="preserve">Aldercourt Primary school has both a desire and a responsibility to ensure that </w:t>
            </w:r>
            <w:proofErr w:type="gramStart"/>
            <w:r w:rsidRPr="00544499">
              <w:rPr>
                <w:rFonts w:asciiTheme="minorHAnsi" w:hAnsiTheme="minorHAnsi"/>
                <w:sz w:val="22"/>
              </w:rPr>
              <w:t>high standards of conduct are maintained by staff, students</w:t>
            </w:r>
            <w:proofErr w:type="gramEnd"/>
            <w:r w:rsidRPr="00544499">
              <w:rPr>
                <w:rFonts w:asciiTheme="minorHAnsi" w:hAnsiTheme="minorHAnsi"/>
                <w:sz w:val="22"/>
              </w:rPr>
              <w:t xml:space="preserve"> and members of the community, and that complaints are managed and resolved fairly, efficiently, promptly and in accordance with relative legislation, school and departmental policy.</w:t>
            </w:r>
          </w:p>
          <w:p w14:paraId="52C9253E" w14:textId="5B0E5FF0" w:rsidR="00731A8F" w:rsidRPr="00731A8F" w:rsidRDefault="00731A8F" w:rsidP="00731A8F">
            <w:pPr>
              <w:widowControl/>
              <w:jc w:val="both"/>
              <w:rPr>
                <w:rFonts w:asciiTheme="minorHAnsi" w:hAnsiTheme="minorHAnsi"/>
                <w:b/>
                <w:sz w:val="22"/>
              </w:rPr>
            </w:pPr>
          </w:p>
        </w:tc>
      </w:tr>
      <w:tr w:rsidR="00F53153" w:rsidRPr="00B542B6" w14:paraId="3EF4F869" w14:textId="77777777" w:rsidTr="00731A8F">
        <w:tc>
          <w:tcPr>
            <w:tcW w:w="10516" w:type="dxa"/>
            <w:gridSpan w:val="3"/>
            <w:shd w:val="clear" w:color="auto" w:fill="C2D69B" w:themeFill="accent3" w:themeFillTint="99"/>
          </w:tcPr>
          <w:p w14:paraId="567AC56E" w14:textId="706C1DB9" w:rsidR="00F53153" w:rsidRPr="00F53153" w:rsidRDefault="002A5A8C" w:rsidP="00B42EFC">
            <w:pPr>
              <w:rPr>
                <w:rFonts w:asciiTheme="minorHAnsi" w:hAnsiTheme="minorHAnsi"/>
                <w:b/>
                <w:sz w:val="28"/>
              </w:rPr>
            </w:pPr>
            <w:r>
              <w:rPr>
                <w:rFonts w:asciiTheme="minorHAnsi" w:hAnsiTheme="minorHAnsi"/>
                <w:b/>
                <w:sz w:val="28"/>
              </w:rPr>
              <w:t>AIM</w:t>
            </w:r>
            <w:r w:rsidR="00F53153" w:rsidRPr="00F53153">
              <w:rPr>
                <w:rFonts w:asciiTheme="minorHAnsi" w:hAnsiTheme="minorHAnsi"/>
                <w:b/>
                <w:sz w:val="28"/>
              </w:rPr>
              <w:t>:</w:t>
            </w:r>
          </w:p>
        </w:tc>
      </w:tr>
      <w:tr w:rsidR="00F53153" w:rsidRPr="00B542B6" w14:paraId="01195124" w14:textId="77777777" w:rsidTr="00731A8F">
        <w:tc>
          <w:tcPr>
            <w:tcW w:w="10516" w:type="dxa"/>
            <w:gridSpan w:val="3"/>
            <w:shd w:val="clear" w:color="auto" w:fill="auto"/>
          </w:tcPr>
          <w:p w14:paraId="3C7EB3AD" w14:textId="77777777" w:rsidR="00E80442" w:rsidRPr="00E80442" w:rsidRDefault="00E80442" w:rsidP="00E80442">
            <w:pPr>
              <w:widowControl/>
              <w:numPr>
                <w:ilvl w:val="0"/>
                <w:numId w:val="25"/>
              </w:numPr>
              <w:ind w:left="360"/>
              <w:jc w:val="both"/>
              <w:rPr>
                <w:rFonts w:asciiTheme="minorHAnsi" w:hAnsiTheme="minorHAnsi"/>
                <w:sz w:val="22"/>
              </w:rPr>
            </w:pPr>
            <w:r w:rsidRPr="00E80442">
              <w:rPr>
                <w:rFonts w:asciiTheme="minorHAnsi" w:hAnsiTheme="minorHAnsi"/>
                <w:sz w:val="22"/>
              </w:rPr>
              <w:t>To provide a harmonious, positive and productive school environment</w:t>
            </w:r>
          </w:p>
          <w:p w14:paraId="63BFC285" w14:textId="77777777" w:rsidR="00E80442" w:rsidRPr="00E80442" w:rsidRDefault="00E80442" w:rsidP="00E80442">
            <w:pPr>
              <w:widowControl/>
              <w:numPr>
                <w:ilvl w:val="0"/>
                <w:numId w:val="25"/>
              </w:numPr>
              <w:ind w:left="360"/>
              <w:jc w:val="both"/>
              <w:rPr>
                <w:rFonts w:asciiTheme="minorHAnsi" w:hAnsiTheme="minorHAnsi"/>
                <w:sz w:val="22"/>
              </w:rPr>
            </w:pPr>
            <w:r w:rsidRPr="00E80442">
              <w:rPr>
                <w:rFonts w:asciiTheme="minorHAnsi" w:hAnsiTheme="minorHAnsi"/>
                <w:sz w:val="22"/>
              </w:rPr>
              <w:t>To resolve complaints fairly, efficiently, promptly and in accordance with relative legislation</w:t>
            </w:r>
          </w:p>
          <w:p w14:paraId="56EA99C0" w14:textId="3F7D8E77" w:rsidR="00F53153" w:rsidRPr="00D827C9" w:rsidRDefault="00F53153" w:rsidP="00D827C9">
            <w:pPr>
              <w:rPr>
                <w:sz w:val="20"/>
              </w:rPr>
            </w:pPr>
          </w:p>
        </w:tc>
      </w:tr>
      <w:tr w:rsidR="00F53153" w:rsidRPr="00B542B6" w14:paraId="1CE6EAC7" w14:textId="77777777" w:rsidTr="00731A8F">
        <w:tc>
          <w:tcPr>
            <w:tcW w:w="10516" w:type="dxa"/>
            <w:gridSpan w:val="3"/>
            <w:shd w:val="clear" w:color="auto" w:fill="C2D69B" w:themeFill="accent3" w:themeFillTint="99"/>
          </w:tcPr>
          <w:p w14:paraId="434A8541" w14:textId="4F244730" w:rsidR="00F53153" w:rsidRPr="00F53153" w:rsidRDefault="00B42EFC" w:rsidP="00F53153">
            <w:pPr>
              <w:rPr>
                <w:rFonts w:asciiTheme="minorHAnsi" w:hAnsiTheme="minorHAnsi"/>
                <w:b/>
              </w:rPr>
            </w:pPr>
            <w:r>
              <w:rPr>
                <w:rFonts w:asciiTheme="minorHAnsi" w:hAnsiTheme="minorHAnsi"/>
                <w:b/>
                <w:sz w:val="28"/>
              </w:rPr>
              <w:t>IMPLEMENTATION</w:t>
            </w:r>
            <w:r w:rsidR="00F53153" w:rsidRPr="00F53153">
              <w:rPr>
                <w:rFonts w:asciiTheme="minorHAnsi" w:hAnsiTheme="minorHAnsi"/>
                <w:b/>
                <w:sz w:val="28"/>
              </w:rPr>
              <w:t>:</w:t>
            </w:r>
          </w:p>
        </w:tc>
      </w:tr>
      <w:tr w:rsidR="00F53153" w:rsidRPr="0082066C" w14:paraId="7401CF32" w14:textId="77777777" w:rsidTr="00731A8F">
        <w:tc>
          <w:tcPr>
            <w:tcW w:w="10516" w:type="dxa"/>
            <w:gridSpan w:val="3"/>
            <w:shd w:val="clear" w:color="auto" w:fill="auto"/>
          </w:tcPr>
          <w:p w14:paraId="500EE362" w14:textId="39B2D383" w:rsidR="00E80442" w:rsidRPr="00E80442" w:rsidRDefault="00E80442" w:rsidP="00646C78">
            <w:pPr>
              <w:widowControl/>
              <w:rPr>
                <w:rFonts w:asciiTheme="minorHAnsi" w:hAnsiTheme="minorHAnsi"/>
                <w:sz w:val="22"/>
              </w:rPr>
            </w:pPr>
            <w:proofErr w:type="gramStart"/>
            <w:r>
              <w:rPr>
                <w:rFonts w:asciiTheme="minorHAnsi" w:hAnsiTheme="minorHAnsi"/>
                <w:sz w:val="22"/>
              </w:rPr>
              <w:t>I</w:t>
            </w:r>
            <w:r w:rsidRPr="00E80442">
              <w:rPr>
                <w:rFonts w:asciiTheme="minorHAnsi" w:hAnsiTheme="minorHAnsi"/>
                <w:sz w:val="22"/>
              </w:rPr>
              <w:t>t is the principal’s responsibility to provide a healthy and positive school environment that is free from discrimination and harassment.</w:t>
            </w:r>
            <w:proofErr w:type="gramEnd"/>
            <w:r w:rsidRPr="00E80442">
              <w:rPr>
                <w:rFonts w:asciiTheme="minorHAnsi" w:hAnsiTheme="minorHAnsi"/>
                <w:sz w:val="22"/>
              </w:rPr>
              <w:t xml:space="preserve">  In doing so, the principal must ensure that all staff and community members are aware of their rights and responsibilities</w:t>
            </w:r>
            <w:r>
              <w:rPr>
                <w:rFonts w:asciiTheme="minorHAnsi" w:hAnsiTheme="minorHAnsi"/>
                <w:sz w:val="22"/>
              </w:rPr>
              <w:t>.</w:t>
            </w:r>
          </w:p>
          <w:p w14:paraId="66360C04" w14:textId="77777777" w:rsidR="00E80442" w:rsidRPr="00E80442" w:rsidRDefault="00E80442" w:rsidP="00646C78">
            <w:pPr>
              <w:rPr>
                <w:rFonts w:asciiTheme="minorHAnsi" w:hAnsiTheme="minorHAnsi"/>
                <w:sz w:val="22"/>
              </w:rPr>
            </w:pPr>
          </w:p>
          <w:p w14:paraId="4277DCB4" w14:textId="77777777" w:rsidR="00E80442" w:rsidRPr="00E80442" w:rsidRDefault="00E80442" w:rsidP="00646C78">
            <w:pPr>
              <w:rPr>
                <w:rFonts w:asciiTheme="minorHAnsi" w:hAnsiTheme="minorHAnsi"/>
                <w:b/>
                <w:sz w:val="22"/>
              </w:rPr>
            </w:pPr>
            <w:r w:rsidRPr="00E80442">
              <w:rPr>
                <w:rFonts w:asciiTheme="minorHAnsi" w:hAnsiTheme="minorHAnsi"/>
                <w:b/>
                <w:sz w:val="22"/>
              </w:rPr>
              <w:t>Staff</w:t>
            </w:r>
          </w:p>
          <w:p w14:paraId="5871ABAC" w14:textId="7EA0A111" w:rsidR="00630C28" w:rsidRDefault="00E80442" w:rsidP="00646C78">
            <w:pPr>
              <w:widowControl/>
              <w:numPr>
                <w:ilvl w:val="0"/>
                <w:numId w:val="33"/>
              </w:numPr>
              <w:rPr>
                <w:rFonts w:asciiTheme="minorHAnsi" w:hAnsiTheme="minorHAnsi"/>
                <w:sz w:val="22"/>
              </w:rPr>
            </w:pPr>
            <w:r>
              <w:rPr>
                <w:rFonts w:asciiTheme="minorHAnsi" w:hAnsiTheme="minorHAnsi"/>
                <w:sz w:val="22"/>
              </w:rPr>
              <w:t xml:space="preserve">All </w:t>
            </w:r>
            <w:r w:rsidR="00BB5770">
              <w:rPr>
                <w:rFonts w:asciiTheme="minorHAnsi" w:hAnsiTheme="minorHAnsi"/>
                <w:sz w:val="22"/>
              </w:rPr>
              <w:t xml:space="preserve">teaching </w:t>
            </w:r>
            <w:bookmarkStart w:id="0" w:name="_GoBack"/>
            <w:bookmarkEnd w:id="0"/>
            <w:r>
              <w:rPr>
                <w:rFonts w:asciiTheme="minorHAnsi" w:hAnsiTheme="minorHAnsi"/>
                <w:sz w:val="22"/>
              </w:rPr>
              <w:t xml:space="preserve">staff at Aldercourt Primary School are ‘Victorian Institute Teaching’ registered and are bind this agreement along with any other Department policies and requirements. This includes the online training modules to ensure all staff are up to date with matters such as mandatory reporting, OH&amp;S requirements and </w:t>
            </w:r>
            <w:r w:rsidR="00630C28">
              <w:rPr>
                <w:rFonts w:asciiTheme="minorHAnsi" w:hAnsiTheme="minorHAnsi"/>
                <w:sz w:val="22"/>
              </w:rPr>
              <w:t>asbestos management refreshers (for certain personnel), among others</w:t>
            </w:r>
          </w:p>
          <w:p w14:paraId="0B5ACAC6" w14:textId="4B42B049" w:rsidR="00E80442" w:rsidRPr="00630C28" w:rsidRDefault="00630C28" w:rsidP="00646C78">
            <w:pPr>
              <w:widowControl/>
              <w:numPr>
                <w:ilvl w:val="0"/>
                <w:numId w:val="33"/>
              </w:numPr>
              <w:rPr>
                <w:rFonts w:asciiTheme="minorHAnsi" w:hAnsiTheme="minorHAnsi"/>
                <w:sz w:val="22"/>
              </w:rPr>
            </w:pPr>
            <w:r w:rsidRPr="00630C28">
              <w:rPr>
                <w:rFonts w:asciiTheme="minorHAnsi" w:hAnsiTheme="minorHAnsi"/>
                <w:sz w:val="22"/>
              </w:rPr>
              <w:t>T</w:t>
            </w:r>
            <w:r w:rsidR="00E80442" w:rsidRPr="00630C28">
              <w:rPr>
                <w:rFonts w:asciiTheme="minorHAnsi" w:hAnsiTheme="minorHAnsi"/>
                <w:sz w:val="22"/>
              </w:rPr>
              <w:t xml:space="preserve">he principal is required to use local complaints resolution procedures, where appropriate, for resolving complaints in relation to issues that fall within the school’s area of responsibility.  All cases of serious misconduct – sexual offences, criminal charges, or other serious incidents – must </w:t>
            </w:r>
            <w:r w:rsidRPr="00630C28">
              <w:rPr>
                <w:rFonts w:asciiTheme="minorHAnsi" w:hAnsiTheme="minorHAnsi"/>
                <w:sz w:val="22"/>
              </w:rPr>
              <w:t>instead be referred to the DET</w:t>
            </w:r>
            <w:r w:rsidR="00E80442" w:rsidRPr="00630C28">
              <w:rPr>
                <w:rFonts w:asciiTheme="minorHAnsi" w:hAnsiTheme="minorHAnsi"/>
                <w:sz w:val="22"/>
              </w:rPr>
              <w:t xml:space="preserve"> </w:t>
            </w:r>
            <w:r w:rsidRPr="00630C28">
              <w:rPr>
                <w:rFonts w:asciiTheme="minorHAnsi" w:hAnsiTheme="minorHAnsi"/>
                <w:sz w:val="22"/>
              </w:rPr>
              <w:t xml:space="preserve">Employee </w:t>
            </w:r>
            <w:r w:rsidR="00E80442" w:rsidRPr="00630C28">
              <w:rPr>
                <w:rFonts w:asciiTheme="minorHAnsi" w:hAnsiTheme="minorHAnsi"/>
                <w:sz w:val="22"/>
              </w:rPr>
              <w:t>Conduct Branch</w:t>
            </w:r>
          </w:p>
          <w:p w14:paraId="3521B831" w14:textId="7CDF1BD3" w:rsidR="00E80442" w:rsidRPr="00E80442" w:rsidRDefault="00630C28" w:rsidP="00646C78">
            <w:pPr>
              <w:widowControl/>
              <w:numPr>
                <w:ilvl w:val="0"/>
                <w:numId w:val="33"/>
              </w:numPr>
              <w:rPr>
                <w:rFonts w:asciiTheme="minorHAnsi" w:hAnsiTheme="minorHAnsi"/>
                <w:sz w:val="22"/>
              </w:rPr>
            </w:pPr>
            <w:r>
              <w:rPr>
                <w:rFonts w:asciiTheme="minorHAnsi" w:hAnsiTheme="minorHAnsi"/>
                <w:sz w:val="22"/>
              </w:rPr>
              <w:t>I</w:t>
            </w:r>
            <w:r w:rsidR="00E80442" w:rsidRPr="00E80442">
              <w:rPr>
                <w:rFonts w:asciiTheme="minorHAnsi" w:hAnsiTheme="minorHAnsi"/>
                <w:sz w:val="22"/>
              </w:rPr>
              <w:t>t is incumbent upon the principal to act where unacceptable conduct is observed or brought to his or her attention</w:t>
            </w:r>
          </w:p>
          <w:p w14:paraId="69A3F45C" w14:textId="758FB3FD" w:rsidR="00E80442" w:rsidRPr="00E80442" w:rsidRDefault="00630C28" w:rsidP="00646C78">
            <w:pPr>
              <w:widowControl/>
              <w:numPr>
                <w:ilvl w:val="0"/>
                <w:numId w:val="33"/>
              </w:numPr>
              <w:rPr>
                <w:rFonts w:asciiTheme="minorHAnsi" w:hAnsiTheme="minorHAnsi"/>
                <w:sz w:val="22"/>
              </w:rPr>
            </w:pPr>
            <w:r>
              <w:rPr>
                <w:rFonts w:asciiTheme="minorHAnsi" w:hAnsiTheme="minorHAnsi"/>
                <w:sz w:val="22"/>
              </w:rPr>
              <w:t>A</w:t>
            </w:r>
            <w:r w:rsidR="00E80442" w:rsidRPr="00E80442">
              <w:rPr>
                <w:rFonts w:asciiTheme="minorHAnsi" w:hAnsiTheme="minorHAnsi"/>
                <w:sz w:val="22"/>
              </w:rPr>
              <w:t xml:space="preserve"> complainant may at any stage choose to take their complaint directly to an external agency such as the Merit Protection Boards, Australian Education Union, Victorian Equal Opportunity Commission, Victorian Principals Federation, Victorian Principals Association, the Human Rights and Equal Opportunity Commission or the Ombudsman</w:t>
            </w:r>
          </w:p>
          <w:p w14:paraId="51E24EFA" w14:textId="2670B88A" w:rsidR="00E80442" w:rsidRPr="00E80442" w:rsidRDefault="00630C28" w:rsidP="00646C78">
            <w:pPr>
              <w:widowControl/>
              <w:numPr>
                <w:ilvl w:val="0"/>
                <w:numId w:val="33"/>
              </w:numPr>
              <w:rPr>
                <w:rFonts w:asciiTheme="minorHAnsi" w:hAnsiTheme="minorHAnsi"/>
                <w:sz w:val="22"/>
              </w:rPr>
            </w:pPr>
            <w:r>
              <w:rPr>
                <w:rFonts w:asciiTheme="minorHAnsi" w:hAnsiTheme="minorHAnsi"/>
                <w:sz w:val="22"/>
              </w:rPr>
              <w:t>I</w:t>
            </w:r>
            <w:r w:rsidR="00E80442" w:rsidRPr="00E80442">
              <w:rPr>
                <w:rFonts w:asciiTheme="minorHAnsi" w:hAnsiTheme="minorHAnsi"/>
                <w:sz w:val="22"/>
              </w:rPr>
              <w:t>t is important that all complaints, ensuing procedures and outcomes are fully documented</w:t>
            </w:r>
          </w:p>
          <w:p w14:paraId="71FCB9B0" w14:textId="5BBDD283" w:rsidR="00E80442" w:rsidRPr="00E80442" w:rsidRDefault="00630C28" w:rsidP="00646C78">
            <w:pPr>
              <w:widowControl/>
              <w:numPr>
                <w:ilvl w:val="0"/>
                <w:numId w:val="33"/>
              </w:numPr>
              <w:rPr>
                <w:rFonts w:asciiTheme="minorHAnsi" w:hAnsiTheme="minorHAnsi"/>
                <w:sz w:val="22"/>
              </w:rPr>
            </w:pPr>
            <w:r>
              <w:rPr>
                <w:rFonts w:asciiTheme="minorHAnsi" w:hAnsiTheme="minorHAnsi"/>
                <w:sz w:val="22"/>
              </w:rPr>
              <w:t>T</w:t>
            </w:r>
            <w:r w:rsidR="00E80442" w:rsidRPr="00E80442">
              <w:rPr>
                <w:rFonts w:asciiTheme="minorHAnsi" w:hAnsiTheme="minorHAnsi"/>
                <w:sz w:val="22"/>
              </w:rPr>
              <w:t>he principal may choose to respond to a complaint through an informal process in cases where the complaint is minor, the complainant wishes the matter to be dealt with informally or the complaint has arisen from lack of or unclear communication</w:t>
            </w:r>
          </w:p>
          <w:p w14:paraId="076C9239" w14:textId="49AAA7E9" w:rsidR="00E80442" w:rsidRPr="00E80442" w:rsidRDefault="00630C28" w:rsidP="00646C78">
            <w:pPr>
              <w:widowControl/>
              <w:numPr>
                <w:ilvl w:val="0"/>
                <w:numId w:val="33"/>
              </w:numPr>
              <w:rPr>
                <w:rFonts w:asciiTheme="minorHAnsi" w:hAnsiTheme="minorHAnsi"/>
                <w:sz w:val="22"/>
              </w:rPr>
            </w:pPr>
            <w:r>
              <w:rPr>
                <w:rFonts w:asciiTheme="minorHAnsi" w:hAnsiTheme="minorHAnsi"/>
                <w:sz w:val="22"/>
              </w:rPr>
              <w:t>A</w:t>
            </w:r>
            <w:r w:rsidR="00E80442" w:rsidRPr="00E80442">
              <w:rPr>
                <w:rFonts w:asciiTheme="minorHAnsi" w:hAnsiTheme="minorHAnsi"/>
                <w:sz w:val="22"/>
              </w:rPr>
              <w:t>t any stage a staff member may be referred to the Employment Assistance Program (EAP)</w:t>
            </w:r>
          </w:p>
          <w:p w14:paraId="0AD35AB9" w14:textId="1AA1F313" w:rsidR="008E3E3F" w:rsidRPr="008E3E3F" w:rsidRDefault="00630C28" w:rsidP="00646C78">
            <w:pPr>
              <w:widowControl/>
              <w:numPr>
                <w:ilvl w:val="0"/>
                <w:numId w:val="33"/>
              </w:numPr>
              <w:rPr>
                <w:rFonts w:asciiTheme="minorHAnsi" w:hAnsiTheme="minorHAnsi"/>
                <w:sz w:val="22"/>
              </w:rPr>
            </w:pPr>
            <w:r>
              <w:rPr>
                <w:rFonts w:asciiTheme="minorHAnsi" w:hAnsiTheme="minorHAnsi"/>
                <w:sz w:val="22"/>
              </w:rPr>
              <w:t>A</w:t>
            </w:r>
            <w:r w:rsidR="00E80442" w:rsidRPr="00E80442">
              <w:rPr>
                <w:rFonts w:asciiTheme="minorHAnsi" w:hAnsiTheme="minorHAnsi"/>
                <w:sz w:val="22"/>
              </w:rPr>
              <w:t xml:space="preserve"> staff member may choose to access the Employment Assistance Program (EAP)</w:t>
            </w:r>
          </w:p>
          <w:p w14:paraId="44633865" w14:textId="7DEC01F2" w:rsidR="00630C28" w:rsidRDefault="00630C28" w:rsidP="00646C78">
            <w:pPr>
              <w:widowControl/>
              <w:numPr>
                <w:ilvl w:val="0"/>
                <w:numId w:val="33"/>
              </w:numPr>
              <w:rPr>
                <w:rFonts w:asciiTheme="minorHAnsi" w:hAnsiTheme="minorHAnsi"/>
                <w:sz w:val="22"/>
              </w:rPr>
            </w:pPr>
            <w:r>
              <w:rPr>
                <w:rFonts w:asciiTheme="minorHAnsi" w:hAnsiTheme="minorHAnsi"/>
                <w:sz w:val="22"/>
              </w:rPr>
              <w:t>F</w:t>
            </w:r>
            <w:r w:rsidR="00E80442" w:rsidRPr="00E80442">
              <w:rPr>
                <w:rFonts w:asciiTheme="minorHAnsi" w:hAnsiTheme="minorHAnsi"/>
                <w:sz w:val="22"/>
              </w:rPr>
              <w:t>ormal processes will be used when informal processes haven’t been successful, a complainant seeks a formal process, or the principal believes the complaint warrants formal investigation</w:t>
            </w:r>
          </w:p>
          <w:p w14:paraId="744411D2" w14:textId="51F6D540" w:rsidR="00630C28" w:rsidRDefault="00630C28" w:rsidP="00646C78">
            <w:pPr>
              <w:widowControl/>
              <w:ind w:left="360"/>
              <w:rPr>
                <w:rFonts w:asciiTheme="minorHAnsi" w:hAnsiTheme="minorHAnsi"/>
                <w:sz w:val="22"/>
              </w:rPr>
            </w:pPr>
            <w:r w:rsidRPr="00630C28">
              <w:rPr>
                <w:rFonts w:asciiTheme="minorHAnsi" w:hAnsiTheme="minorHAnsi"/>
                <w:sz w:val="22"/>
              </w:rPr>
              <w:t>F</w:t>
            </w:r>
            <w:r w:rsidR="00E80442" w:rsidRPr="00630C28">
              <w:rPr>
                <w:rFonts w:asciiTheme="minorHAnsi" w:hAnsiTheme="minorHAnsi"/>
                <w:sz w:val="22"/>
              </w:rPr>
              <w:t>ull details regarding formal complaint resolution procedure</w:t>
            </w:r>
            <w:r w:rsidRPr="00630C28">
              <w:rPr>
                <w:rFonts w:asciiTheme="minorHAnsi" w:hAnsiTheme="minorHAnsi"/>
                <w:sz w:val="22"/>
              </w:rPr>
              <w:t>s are contained within the DET</w:t>
            </w:r>
            <w:r>
              <w:rPr>
                <w:rFonts w:asciiTheme="minorHAnsi" w:hAnsiTheme="minorHAnsi"/>
                <w:sz w:val="22"/>
              </w:rPr>
              <w:t xml:space="preserve"> complaints policy</w:t>
            </w:r>
            <w:r w:rsidR="008E3E3F">
              <w:rPr>
                <w:rFonts w:asciiTheme="minorHAnsi" w:hAnsiTheme="minorHAnsi"/>
                <w:sz w:val="22"/>
              </w:rPr>
              <w:t xml:space="preserve"> </w:t>
            </w:r>
            <w:hyperlink r:id="rId12" w:history="1">
              <w:r w:rsidR="008E3E3F" w:rsidRPr="00F012B2">
                <w:rPr>
                  <w:rStyle w:val="Hyperlink"/>
                  <w:rFonts w:asciiTheme="minorHAnsi" w:hAnsiTheme="minorHAnsi"/>
                  <w:sz w:val="22"/>
                </w:rPr>
                <w:t>http://www.vcaa.vic.edu.au/Pages/aboutus/policies/complaintspolicy.aspx</w:t>
              </w:r>
            </w:hyperlink>
          </w:p>
          <w:p w14:paraId="055FDEAE" w14:textId="49EE784D" w:rsidR="008E3E3F" w:rsidRDefault="008E3E3F" w:rsidP="00646C78">
            <w:pPr>
              <w:widowControl/>
              <w:ind w:left="360"/>
              <w:rPr>
                <w:rFonts w:asciiTheme="minorHAnsi" w:hAnsiTheme="minorHAnsi"/>
                <w:sz w:val="22"/>
              </w:rPr>
            </w:pPr>
          </w:p>
          <w:p w14:paraId="5C89F990" w14:textId="78A8E45A" w:rsidR="008E3E3F" w:rsidRPr="006E6574" w:rsidRDefault="008E3E3F" w:rsidP="00646C78">
            <w:pPr>
              <w:widowControl/>
              <w:rPr>
                <w:rFonts w:asciiTheme="minorHAnsi" w:hAnsiTheme="minorHAnsi"/>
                <w:b/>
                <w:sz w:val="22"/>
              </w:rPr>
            </w:pPr>
            <w:r w:rsidRPr="006E6574">
              <w:rPr>
                <w:rFonts w:asciiTheme="minorHAnsi" w:hAnsiTheme="minorHAnsi"/>
                <w:b/>
                <w:sz w:val="22"/>
              </w:rPr>
              <w:lastRenderedPageBreak/>
              <w:t>Parent/Community Complaints</w:t>
            </w:r>
          </w:p>
          <w:p w14:paraId="40CE5078" w14:textId="1405FDE2" w:rsidR="00E80442" w:rsidRPr="002D08D0" w:rsidRDefault="008E3E3F" w:rsidP="00646C78">
            <w:pPr>
              <w:pStyle w:val="ListParagraph"/>
              <w:widowControl/>
              <w:numPr>
                <w:ilvl w:val="0"/>
                <w:numId w:val="33"/>
              </w:numPr>
              <w:ind w:left="360"/>
              <w:contextualSpacing/>
              <w:rPr>
                <w:rFonts w:asciiTheme="minorHAnsi" w:hAnsiTheme="minorHAnsi"/>
                <w:sz w:val="22"/>
              </w:rPr>
            </w:pPr>
            <w:r w:rsidRPr="002D08D0">
              <w:rPr>
                <w:rFonts w:asciiTheme="minorHAnsi" w:hAnsiTheme="minorHAnsi"/>
                <w:sz w:val="22"/>
              </w:rPr>
              <w:t>A</w:t>
            </w:r>
            <w:r w:rsidR="00E80442" w:rsidRPr="002D08D0">
              <w:rPr>
                <w:rFonts w:asciiTheme="minorHAnsi" w:hAnsiTheme="minorHAnsi"/>
                <w:sz w:val="22"/>
              </w:rPr>
              <w:t xml:space="preserve">ll matters </w:t>
            </w:r>
            <w:proofErr w:type="gramStart"/>
            <w:r w:rsidR="00E80442" w:rsidRPr="002D08D0">
              <w:rPr>
                <w:rFonts w:asciiTheme="minorHAnsi" w:hAnsiTheme="minorHAnsi"/>
                <w:sz w:val="22"/>
              </w:rPr>
              <w:t>must be treated</w:t>
            </w:r>
            <w:proofErr w:type="gramEnd"/>
            <w:r w:rsidR="00E80442" w:rsidRPr="002D08D0">
              <w:rPr>
                <w:rFonts w:asciiTheme="minorHAnsi" w:hAnsiTheme="minorHAnsi"/>
                <w:sz w:val="22"/>
              </w:rPr>
              <w:t xml:space="preserve"> with utmost confidentiality and professional respect at all times.</w:t>
            </w:r>
          </w:p>
          <w:p w14:paraId="7E820DB1" w14:textId="135D7374" w:rsidR="000F3D8A" w:rsidRPr="002D08D0" w:rsidRDefault="00E80442" w:rsidP="00646C78">
            <w:pPr>
              <w:widowControl/>
              <w:numPr>
                <w:ilvl w:val="0"/>
                <w:numId w:val="33"/>
              </w:numPr>
              <w:ind w:left="360"/>
              <w:rPr>
                <w:rFonts w:asciiTheme="minorHAnsi" w:hAnsiTheme="minorHAnsi"/>
                <w:sz w:val="22"/>
              </w:rPr>
            </w:pPr>
            <w:r w:rsidRPr="002D08D0">
              <w:rPr>
                <w:rFonts w:asciiTheme="minorHAnsi" w:hAnsiTheme="minorHAnsi"/>
                <w:sz w:val="22"/>
              </w:rPr>
              <w:t xml:space="preserve">the school is the first point of contact </w:t>
            </w:r>
          </w:p>
          <w:p w14:paraId="25363147" w14:textId="77777777" w:rsidR="00E80442" w:rsidRPr="002D08D0" w:rsidRDefault="00E80442" w:rsidP="00646C78">
            <w:pPr>
              <w:widowControl/>
              <w:numPr>
                <w:ilvl w:val="0"/>
                <w:numId w:val="33"/>
              </w:numPr>
              <w:ind w:left="360"/>
              <w:rPr>
                <w:rFonts w:asciiTheme="minorHAnsi" w:hAnsiTheme="minorHAnsi"/>
                <w:sz w:val="22"/>
              </w:rPr>
            </w:pPr>
            <w:r w:rsidRPr="002D08D0">
              <w:rPr>
                <w:rFonts w:asciiTheme="minorHAnsi" w:hAnsiTheme="minorHAnsi"/>
                <w:sz w:val="22"/>
              </w:rPr>
              <w:t>when contacting the school</w:t>
            </w:r>
          </w:p>
          <w:p w14:paraId="2B0D3F9E" w14:textId="77777777" w:rsidR="00E80442" w:rsidRPr="002D08D0" w:rsidRDefault="00E80442" w:rsidP="00646C78">
            <w:pPr>
              <w:pStyle w:val="ListParagraph"/>
              <w:numPr>
                <w:ilvl w:val="0"/>
                <w:numId w:val="38"/>
              </w:numPr>
              <w:rPr>
                <w:rFonts w:asciiTheme="minorHAnsi" w:hAnsiTheme="minorHAnsi"/>
                <w:sz w:val="22"/>
              </w:rPr>
            </w:pPr>
            <w:r w:rsidRPr="002D08D0">
              <w:rPr>
                <w:rFonts w:asciiTheme="minorHAnsi" w:hAnsiTheme="minorHAnsi"/>
                <w:sz w:val="22"/>
              </w:rPr>
              <w:t xml:space="preserve">-Plan what you will say, so you can clearly explain what the problem is </w:t>
            </w:r>
          </w:p>
          <w:p w14:paraId="364E6D89" w14:textId="77777777" w:rsidR="00E80442" w:rsidRPr="002D08D0" w:rsidRDefault="00E80442" w:rsidP="00646C78">
            <w:pPr>
              <w:pStyle w:val="ListParagraph"/>
              <w:numPr>
                <w:ilvl w:val="0"/>
                <w:numId w:val="38"/>
              </w:numPr>
              <w:rPr>
                <w:rFonts w:asciiTheme="minorHAnsi" w:hAnsiTheme="minorHAnsi"/>
                <w:sz w:val="22"/>
              </w:rPr>
            </w:pPr>
            <w:r w:rsidRPr="002D08D0">
              <w:rPr>
                <w:rFonts w:asciiTheme="minorHAnsi" w:hAnsiTheme="minorHAnsi"/>
                <w:sz w:val="22"/>
              </w:rPr>
              <w:t>-Have some ideas about how the problem can be solved</w:t>
            </w:r>
          </w:p>
          <w:p w14:paraId="79CCF223" w14:textId="77777777" w:rsidR="00E80442" w:rsidRPr="002D08D0" w:rsidRDefault="00E80442" w:rsidP="00646C78">
            <w:pPr>
              <w:pStyle w:val="ListParagraph"/>
              <w:numPr>
                <w:ilvl w:val="0"/>
                <w:numId w:val="38"/>
              </w:numPr>
              <w:rPr>
                <w:rFonts w:asciiTheme="minorHAnsi" w:hAnsiTheme="minorHAnsi"/>
                <w:sz w:val="22"/>
              </w:rPr>
            </w:pPr>
            <w:r w:rsidRPr="002D08D0">
              <w:rPr>
                <w:rFonts w:asciiTheme="minorHAnsi" w:hAnsiTheme="minorHAnsi"/>
                <w:sz w:val="22"/>
              </w:rPr>
              <w:t>-Talk about the problem with your child’s teachers by telephone or organise a face to face meeting</w:t>
            </w:r>
          </w:p>
          <w:p w14:paraId="467232F5" w14:textId="1C186F1B" w:rsidR="00E80442" w:rsidRPr="002D08D0" w:rsidRDefault="00E80442" w:rsidP="00646C78">
            <w:pPr>
              <w:pStyle w:val="ListParagraph"/>
              <w:numPr>
                <w:ilvl w:val="0"/>
                <w:numId w:val="38"/>
              </w:numPr>
              <w:rPr>
                <w:rFonts w:asciiTheme="minorHAnsi" w:hAnsiTheme="minorHAnsi"/>
                <w:sz w:val="22"/>
              </w:rPr>
            </w:pPr>
            <w:r w:rsidRPr="002D08D0">
              <w:rPr>
                <w:rFonts w:asciiTheme="minorHAnsi" w:hAnsiTheme="minorHAnsi"/>
                <w:sz w:val="22"/>
              </w:rPr>
              <w:t>-If you still have a concern you may want to speak further regarding the issue/concern with the sub school co-ordinator, Assistant Principal or Principal</w:t>
            </w:r>
          </w:p>
          <w:p w14:paraId="5866D825" w14:textId="04D9DA7A" w:rsidR="000F3D8A" w:rsidRPr="002D08D0" w:rsidRDefault="000F3D8A" w:rsidP="00646C78">
            <w:pPr>
              <w:widowControl/>
              <w:numPr>
                <w:ilvl w:val="0"/>
                <w:numId w:val="33"/>
              </w:numPr>
              <w:ind w:left="360"/>
              <w:rPr>
                <w:rFonts w:asciiTheme="minorHAnsi" w:hAnsiTheme="minorHAnsi"/>
                <w:sz w:val="22"/>
              </w:rPr>
            </w:pPr>
            <w:r w:rsidRPr="002D08D0">
              <w:rPr>
                <w:rFonts w:asciiTheme="minorHAnsi" w:hAnsiTheme="minorHAnsi"/>
                <w:sz w:val="22"/>
              </w:rPr>
              <w:t>parents/caregivers may be supported at any meeting by a friend, colleague or representative from a support organisation</w:t>
            </w:r>
          </w:p>
          <w:p w14:paraId="6C1763D3" w14:textId="5D1C186A" w:rsidR="002D08D0" w:rsidRPr="002D08D0" w:rsidRDefault="002D08D0" w:rsidP="00646C78">
            <w:pPr>
              <w:widowControl/>
              <w:numPr>
                <w:ilvl w:val="0"/>
                <w:numId w:val="33"/>
              </w:numPr>
              <w:ind w:left="360"/>
              <w:rPr>
                <w:rFonts w:asciiTheme="minorHAnsi" w:hAnsiTheme="minorHAnsi"/>
                <w:sz w:val="22"/>
              </w:rPr>
            </w:pPr>
            <w:r w:rsidRPr="002D08D0">
              <w:rPr>
                <w:rFonts w:asciiTheme="minorHAnsi" w:hAnsiTheme="minorHAnsi"/>
                <w:sz w:val="22"/>
              </w:rPr>
              <w:t>Parties dissatisfied with the process can appeal to the previously mentioned external agencies</w:t>
            </w:r>
          </w:p>
          <w:p w14:paraId="59D925BB" w14:textId="61422EC7" w:rsidR="000F3D8A" w:rsidRPr="002D08D0" w:rsidRDefault="000F3D8A" w:rsidP="00646C78">
            <w:pPr>
              <w:widowControl/>
              <w:numPr>
                <w:ilvl w:val="0"/>
                <w:numId w:val="33"/>
              </w:numPr>
              <w:ind w:left="360"/>
              <w:rPr>
                <w:rFonts w:asciiTheme="minorHAnsi" w:hAnsiTheme="minorHAnsi"/>
                <w:sz w:val="22"/>
              </w:rPr>
            </w:pPr>
            <w:r w:rsidRPr="002D08D0">
              <w:rPr>
                <w:rFonts w:asciiTheme="minorHAnsi" w:hAnsiTheme="minorHAnsi"/>
                <w:sz w:val="22"/>
              </w:rPr>
              <w:t>I</w:t>
            </w:r>
            <w:r w:rsidR="00E80442" w:rsidRPr="002D08D0">
              <w:rPr>
                <w:rFonts w:asciiTheme="minorHAnsi" w:hAnsiTheme="minorHAnsi"/>
                <w:sz w:val="22"/>
              </w:rPr>
              <w:t>f the matter is still not resolved you can contact the South East Victoria Regional Office who will assist you and the school to find a solution</w:t>
            </w:r>
            <w:r w:rsidRPr="002D08D0">
              <w:rPr>
                <w:rFonts w:asciiTheme="minorHAnsi" w:hAnsiTheme="minorHAnsi"/>
                <w:sz w:val="22"/>
              </w:rPr>
              <w:t xml:space="preserve">, </w:t>
            </w:r>
            <w:proofErr w:type="spellStart"/>
            <w:r w:rsidRPr="002D08D0">
              <w:rPr>
                <w:rFonts w:asciiTheme="minorHAnsi" w:hAnsiTheme="minorHAnsi"/>
                <w:sz w:val="22"/>
              </w:rPr>
              <w:t>Furthmore</w:t>
            </w:r>
            <w:proofErr w:type="spellEnd"/>
            <w:r w:rsidR="002D08D0" w:rsidRPr="002D08D0">
              <w:rPr>
                <w:rFonts w:asciiTheme="minorHAnsi" w:hAnsiTheme="minorHAnsi"/>
                <w:sz w:val="22"/>
              </w:rPr>
              <w:t>, f</w:t>
            </w:r>
            <w:r w:rsidR="008E3E3F" w:rsidRPr="002D08D0">
              <w:rPr>
                <w:rFonts w:asciiTheme="minorHAnsi" w:hAnsiTheme="minorHAnsi"/>
                <w:sz w:val="22"/>
              </w:rPr>
              <w:t xml:space="preserve">ull details regarding </w:t>
            </w:r>
            <w:r w:rsidRPr="002D08D0">
              <w:rPr>
                <w:rFonts w:asciiTheme="minorHAnsi" w:hAnsiTheme="minorHAnsi"/>
                <w:sz w:val="22"/>
              </w:rPr>
              <w:t xml:space="preserve">parent </w:t>
            </w:r>
            <w:r w:rsidR="008E3E3F" w:rsidRPr="002D08D0">
              <w:rPr>
                <w:rFonts w:asciiTheme="minorHAnsi" w:hAnsiTheme="minorHAnsi"/>
                <w:sz w:val="22"/>
              </w:rPr>
              <w:t>formal complaint resolution procedures are contained within the DET</w:t>
            </w:r>
            <w:r w:rsidRPr="002D08D0">
              <w:rPr>
                <w:rFonts w:asciiTheme="minorHAnsi" w:hAnsiTheme="minorHAnsi"/>
                <w:sz w:val="22"/>
              </w:rPr>
              <w:t xml:space="preserve"> Parent Concerns P</w:t>
            </w:r>
            <w:r w:rsidR="008E3E3F" w:rsidRPr="002D08D0">
              <w:rPr>
                <w:rFonts w:asciiTheme="minorHAnsi" w:hAnsiTheme="minorHAnsi"/>
                <w:sz w:val="22"/>
              </w:rPr>
              <w:t xml:space="preserve">olicy </w:t>
            </w:r>
            <w:r w:rsidRPr="002D08D0">
              <w:rPr>
                <w:rFonts w:asciiTheme="minorHAnsi" w:hAnsiTheme="minorHAnsi"/>
                <w:sz w:val="22"/>
              </w:rPr>
              <w:t>chrome-extension://gbkeegbaiigmenfmjfclcdgdpimamgkj/views/app.html</w:t>
            </w:r>
          </w:p>
          <w:p w14:paraId="1EB39B71" w14:textId="35225899" w:rsidR="000F3D8A" w:rsidRDefault="000F3D8A" w:rsidP="00646C78">
            <w:pPr>
              <w:widowControl/>
              <w:ind w:left="360"/>
              <w:rPr>
                <w:rFonts w:asciiTheme="minorHAnsi" w:hAnsiTheme="minorHAnsi"/>
                <w:sz w:val="22"/>
              </w:rPr>
            </w:pPr>
          </w:p>
          <w:p w14:paraId="01ADB9A8" w14:textId="78FEE4D7" w:rsidR="000F3D8A" w:rsidRDefault="000F3D8A" w:rsidP="00646C78">
            <w:pPr>
              <w:widowControl/>
              <w:ind w:left="360"/>
              <w:rPr>
                <w:rFonts w:asciiTheme="minorHAnsi" w:hAnsiTheme="minorHAnsi"/>
                <w:sz w:val="22"/>
              </w:rPr>
            </w:pPr>
            <w:r>
              <w:rPr>
                <w:rFonts w:asciiTheme="minorHAnsi" w:hAnsiTheme="minorHAnsi"/>
                <w:sz w:val="22"/>
              </w:rPr>
              <w:t>Below is the Parent Complaint Flowchart</w:t>
            </w:r>
          </w:p>
          <w:p w14:paraId="57645306" w14:textId="3ED1FB8D" w:rsidR="000F3D8A" w:rsidRDefault="000F3D8A" w:rsidP="00646C78">
            <w:pPr>
              <w:widowControl/>
              <w:ind w:left="360"/>
              <w:rPr>
                <w:rFonts w:asciiTheme="minorHAnsi" w:hAnsiTheme="minorHAnsi"/>
                <w:sz w:val="22"/>
              </w:rPr>
            </w:pPr>
          </w:p>
          <w:p w14:paraId="18AC190E" w14:textId="10F03142" w:rsidR="000F3D8A" w:rsidRDefault="000F3D8A" w:rsidP="00646C78">
            <w:pPr>
              <w:widowControl/>
              <w:ind w:left="360"/>
              <w:rPr>
                <w:rFonts w:asciiTheme="minorHAnsi" w:hAnsiTheme="minorHAnsi"/>
                <w:sz w:val="22"/>
              </w:rPr>
            </w:pPr>
            <w:r>
              <w:rPr>
                <w:noProof/>
                <w:snapToGrid/>
                <w:lang w:eastAsia="en-AU"/>
              </w:rPr>
              <w:drawing>
                <wp:inline distT="0" distB="0" distL="0" distR="0" wp14:anchorId="66ACBE7D" wp14:editId="0C14B1A8">
                  <wp:extent cx="5730875" cy="26841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0875" cy="2684145"/>
                          </a:xfrm>
                          <a:prstGeom prst="rect">
                            <a:avLst/>
                          </a:prstGeom>
                        </pic:spPr>
                      </pic:pic>
                    </a:graphicData>
                  </a:graphic>
                </wp:inline>
              </w:drawing>
            </w:r>
          </w:p>
          <w:p w14:paraId="699E5F6E" w14:textId="1DF8FD6E" w:rsidR="000F3D8A" w:rsidRDefault="000F3D8A" w:rsidP="00646C78">
            <w:pPr>
              <w:widowControl/>
              <w:ind w:left="360"/>
              <w:rPr>
                <w:rFonts w:asciiTheme="minorHAnsi" w:hAnsiTheme="minorHAnsi"/>
                <w:sz w:val="22"/>
              </w:rPr>
            </w:pPr>
            <w:r>
              <w:rPr>
                <w:noProof/>
                <w:snapToGrid/>
                <w:lang w:eastAsia="en-AU"/>
              </w:rPr>
              <w:drawing>
                <wp:inline distT="0" distB="0" distL="0" distR="0" wp14:anchorId="1D303A16" wp14:editId="5E31222D">
                  <wp:extent cx="5730875" cy="27057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2705735"/>
                          </a:xfrm>
                          <a:prstGeom prst="rect">
                            <a:avLst/>
                          </a:prstGeom>
                        </pic:spPr>
                      </pic:pic>
                    </a:graphicData>
                  </a:graphic>
                </wp:inline>
              </w:drawing>
            </w:r>
          </w:p>
          <w:p w14:paraId="741F19B5" w14:textId="0CDFA541" w:rsidR="000F3D8A" w:rsidRDefault="000F3D8A" w:rsidP="00646C78">
            <w:pPr>
              <w:widowControl/>
              <w:ind w:left="360"/>
              <w:rPr>
                <w:rFonts w:asciiTheme="minorHAnsi" w:hAnsiTheme="minorHAnsi"/>
                <w:sz w:val="22"/>
              </w:rPr>
            </w:pPr>
            <w:r>
              <w:rPr>
                <w:noProof/>
                <w:snapToGrid/>
                <w:lang w:eastAsia="en-AU"/>
              </w:rPr>
              <w:lastRenderedPageBreak/>
              <w:drawing>
                <wp:inline distT="0" distB="0" distL="0" distR="0" wp14:anchorId="7AD35978" wp14:editId="191C4CE7">
                  <wp:extent cx="5730875" cy="29686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2968625"/>
                          </a:xfrm>
                          <a:prstGeom prst="rect">
                            <a:avLst/>
                          </a:prstGeom>
                        </pic:spPr>
                      </pic:pic>
                    </a:graphicData>
                  </a:graphic>
                </wp:inline>
              </w:drawing>
            </w:r>
          </w:p>
          <w:p w14:paraId="51FA4765" w14:textId="47B09CF1" w:rsidR="00E80442" w:rsidRPr="002D08D0" w:rsidRDefault="008E3E3F" w:rsidP="00646C78">
            <w:pPr>
              <w:pStyle w:val="ListParagraph"/>
              <w:widowControl/>
              <w:numPr>
                <w:ilvl w:val="0"/>
                <w:numId w:val="33"/>
              </w:numPr>
              <w:rPr>
                <w:rFonts w:asciiTheme="minorHAnsi" w:hAnsiTheme="minorHAnsi"/>
                <w:sz w:val="22"/>
              </w:rPr>
            </w:pPr>
            <w:r w:rsidRPr="002D08D0">
              <w:rPr>
                <w:rFonts w:asciiTheme="minorHAnsi" w:hAnsiTheme="minorHAnsi"/>
                <w:sz w:val="22"/>
              </w:rPr>
              <w:t>A</w:t>
            </w:r>
            <w:r w:rsidR="00E80442" w:rsidRPr="002D08D0">
              <w:rPr>
                <w:rFonts w:asciiTheme="minorHAnsi" w:hAnsiTheme="minorHAnsi"/>
                <w:sz w:val="22"/>
              </w:rPr>
              <w:t xml:space="preserve">dvice about raising a concern or making a complaint is available from Parents Victoria – </w:t>
            </w:r>
            <w:r w:rsidR="000F3D8A" w:rsidRPr="002D08D0">
              <w:rPr>
                <w:rFonts w:ascii="Helvetica" w:hAnsi="Helvetica"/>
                <w:i/>
                <w:iCs/>
                <w:snapToGrid/>
                <w:sz w:val="18"/>
                <w:szCs w:val="18"/>
                <w:lang w:eastAsia="en-AU"/>
              </w:rPr>
              <w:t>0419 716 171 (Free call from outside Melbourne: 1800 032 023</w:t>
            </w:r>
            <w:r w:rsidR="000F3D8A" w:rsidRPr="002D08D0">
              <w:rPr>
                <w:rFonts w:asciiTheme="minorHAnsi" w:hAnsiTheme="minorHAnsi"/>
                <w:sz w:val="22"/>
              </w:rPr>
              <w:t xml:space="preserve"> </w:t>
            </w:r>
            <w:r w:rsidRPr="002D08D0">
              <w:rPr>
                <w:rFonts w:asciiTheme="minorHAnsi" w:hAnsiTheme="minorHAnsi"/>
                <w:sz w:val="22"/>
              </w:rPr>
              <w:t>or http://www.parentsvictoria.asn.au/</w:t>
            </w:r>
          </w:p>
          <w:p w14:paraId="1B570259" w14:textId="2D261057" w:rsidR="00A359AC" w:rsidRPr="002A5A8C" w:rsidRDefault="00A359AC" w:rsidP="00646C78">
            <w:pPr>
              <w:widowControl/>
              <w:tabs>
                <w:tab w:val="left" w:pos="180"/>
              </w:tabs>
              <w:rPr>
                <w:rFonts w:asciiTheme="minorHAnsi" w:hAnsiTheme="minorHAnsi"/>
                <w:sz w:val="22"/>
              </w:rPr>
            </w:pPr>
          </w:p>
        </w:tc>
      </w:tr>
      <w:tr w:rsidR="00BA760F" w:rsidRPr="0082066C" w14:paraId="5931CB24" w14:textId="77777777" w:rsidTr="00731A8F">
        <w:tc>
          <w:tcPr>
            <w:tcW w:w="10516" w:type="dxa"/>
            <w:gridSpan w:val="3"/>
            <w:shd w:val="clear" w:color="auto" w:fill="92D050"/>
          </w:tcPr>
          <w:p w14:paraId="3106492B" w14:textId="57BB2E42" w:rsidR="00BA760F" w:rsidRPr="0068304D" w:rsidRDefault="0068304D" w:rsidP="00BA760F">
            <w:pPr>
              <w:autoSpaceDE w:val="0"/>
              <w:autoSpaceDN w:val="0"/>
              <w:adjustRightInd w:val="0"/>
              <w:spacing w:before="100" w:beforeAutospacing="1" w:after="100" w:afterAutospacing="1"/>
              <w:rPr>
                <w:rFonts w:asciiTheme="minorHAnsi" w:hAnsiTheme="minorHAnsi" w:cs="Arial"/>
                <w:b/>
                <w:sz w:val="20"/>
                <w:szCs w:val="20"/>
              </w:rPr>
            </w:pPr>
            <w:r w:rsidRPr="0068304D">
              <w:rPr>
                <w:rFonts w:asciiTheme="minorHAnsi" w:hAnsiTheme="minorHAnsi" w:cs="Arial"/>
                <w:b/>
                <w:sz w:val="28"/>
                <w:szCs w:val="20"/>
              </w:rPr>
              <w:lastRenderedPageBreak/>
              <w:t>EVALUATION</w:t>
            </w:r>
          </w:p>
        </w:tc>
      </w:tr>
      <w:tr w:rsidR="00BA760F" w:rsidRPr="0082066C" w14:paraId="615F8E3E" w14:textId="77777777" w:rsidTr="00731A8F">
        <w:tc>
          <w:tcPr>
            <w:tcW w:w="10516" w:type="dxa"/>
            <w:gridSpan w:val="3"/>
            <w:shd w:val="clear" w:color="auto" w:fill="auto"/>
          </w:tcPr>
          <w:p w14:paraId="252E7973" w14:textId="77777777" w:rsidR="009836BA" w:rsidRDefault="009836BA" w:rsidP="000E2A5E">
            <w:pPr>
              <w:rPr>
                <w:rFonts w:asciiTheme="minorHAnsi" w:hAnsiTheme="minorHAnsi" w:cs="Arial"/>
                <w:sz w:val="20"/>
                <w:szCs w:val="20"/>
              </w:rPr>
            </w:pPr>
          </w:p>
          <w:p w14:paraId="09D8E897" w14:textId="6F337C25" w:rsidR="00BA760F" w:rsidRPr="0068304D" w:rsidRDefault="0068304D" w:rsidP="000E2A5E">
            <w:pPr>
              <w:rPr>
                <w:rFonts w:asciiTheme="minorHAnsi" w:hAnsiTheme="minorHAnsi" w:cs="Arial"/>
                <w:sz w:val="20"/>
                <w:szCs w:val="20"/>
              </w:rPr>
            </w:pPr>
            <w:r w:rsidRPr="0068304D">
              <w:rPr>
                <w:rFonts w:asciiTheme="minorHAnsi" w:hAnsiTheme="minorHAnsi" w:cs="Arial"/>
                <w:sz w:val="20"/>
                <w:szCs w:val="20"/>
              </w:rPr>
              <w:t xml:space="preserve">This </w:t>
            </w:r>
            <w:r w:rsidR="00D827C9">
              <w:rPr>
                <w:rFonts w:asciiTheme="minorHAnsi" w:hAnsiTheme="minorHAnsi" w:cs="Arial"/>
                <w:sz w:val="20"/>
                <w:szCs w:val="20"/>
              </w:rPr>
              <w:t xml:space="preserve">policy </w:t>
            </w:r>
            <w:proofErr w:type="gramStart"/>
            <w:r w:rsidR="00D827C9">
              <w:rPr>
                <w:rFonts w:asciiTheme="minorHAnsi" w:hAnsiTheme="minorHAnsi" w:cs="Arial"/>
                <w:sz w:val="20"/>
                <w:szCs w:val="20"/>
              </w:rPr>
              <w:t>will be reviewed</w:t>
            </w:r>
            <w:proofErr w:type="gramEnd"/>
            <w:r w:rsidR="00D827C9">
              <w:rPr>
                <w:rFonts w:asciiTheme="minorHAnsi" w:hAnsiTheme="minorHAnsi" w:cs="Arial"/>
                <w:sz w:val="20"/>
                <w:szCs w:val="20"/>
              </w:rPr>
              <w:t xml:space="preserve"> with the school’s review cycle</w:t>
            </w:r>
            <w:r w:rsidRPr="0068304D">
              <w:rPr>
                <w:rFonts w:asciiTheme="minorHAnsi" w:hAnsiTheme="minorHAnsi" w:cs="Arial"/>
                <w:sz w:val="20"/>
                <w:szCs w:val="20"/>
              </w:rPr>
              <w:t xml:space="preserve"> or more often if necessary due to changes in regulations or circumstances.</w:t>
            </w:r>
          </w:p>
        </w:tc>
      </w:tr>
    </w:tbl>
    <w:p w14:paraId="5096767E" w14:textId="0AF244C7" w:rsidR="0068304D" w:rsidRDefault="0068304D" w:rsidP="000E2A5E">
      <w:pPr>
        <w:rPr>
          <w:lang w:val="en-US" w:bidi="en-US"/>
        </w:rPr>
      </w:pPr>
    </w:p>
    <w:p w14:paraId="51475213" w14:textId="77777777" w:rsidR="008E3E3F" w:rsidRPr="00E80442" w:rsidRDefault="008E3E3F" w:rsidP="008E3E3F">
      <w:pPr>
        <w:widowControl/>
        <w:ind w:left="360"/>
        <w:jc w:val="both"/>
        <w:rPr>
          <w:rFonts w:asciiTheme="minorHAnsi" w:hAnsiTheme="minorHAnsi"/>
          <w:sz w:val="22"/>
        </w:rPr>
      </w:pPr>
    </w:p>
    <w:p w14:paraId="0B453520" w14:textId="08C2B455" w:rsidR="008E3E3F" w:rsidRDefault="008E3E3F" w:rsidP="000E2A5E">
      <w:pPr>
        <w:rPr>
          <w:lang w:val="en-US" w:bidi="en-US"/>
        </w:rPr>
      </w:pPr>
    </w:p>
    <w:p w14:paraId="308CD7F4" w14:textId="77777777" w:rsidR="008E3E3F" w:rsidRDefault="008E3E3F" w:rsidP="000E2A5E">
      <w:pPr>
        <w:rPr>
          <w:lang w:val="en-US" w:bidi="en-US"/>
        </w:rPr>
      </w:pPr>
    </w:p>
    <w:sectPr w:rsidR="008E3E3F" w:rsidSect="003463E1">
      <w:footerReference w:type="even" r:id="rId16"/>
      <w:footerReference w:type="default" r:id="rId17"/>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873B" w14:textId="77777777" w:rsidR="00DC41E6" w:rsidRDefault="00DC41E6" w:rsidP="00F96183">
      <w:r>
        <w:separator/>
      </w:r>
    </w:p>
  </w:endnote>
  <w:endnote w:type="continuationSeparator" w:id="0">
    <w:p w14:paraId="2F2CF8A1" w14:textId="77777777" w:rsidR="00DC41E6" w:rsidRDefault="00DC41E6"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6F5" w14:textId="77777777" w:rsidR="00630C28" w:rsidRDefault="00630C2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B1D8B5" w14:textId="77777777" w:rsidR="00630C28" w:rsidRDefault="00630C2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9220" w14:textId="77777777" w:rsidR="00630C28" w:rsidRDefault="00630C28">
    <w:pPr>
      <w:pStyle w:val="Footer"/>
      <w:ind w:firstLine="360"/>
      <w:jc w:val="center"/>
      <w:rPr>
        <w:rFonts w:ascii="Arial Narrow" w:hAnsi="Arial Narrow"/>
        <w:b/>
        <w:bCs/>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539B" w14:textId="77777777" w:rsidR="00DC41E6" w:rsidRDefault="00DC41E6" w:rsidP="00F96183">
      <w:r>
        <w:separator/>
      </w:r>
    </w:p>
  </w:footnote>
  <w:footnote w:type="continuationSeparator" w:id="0">
    <w:p w14:paraId="33E8BB96" w14:textId="77777777" w:rsidR="00DC41E6" w:rsidRDefault="00DC41E6"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06CC5"/>
    <w:multiLevelType w:val="hybridMultilevel"/>
    <w:tmpl w:val="15886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A7856"/>
    <w:multiLevelType w:val="hybridMultilevel"/>
    <w:tmpl w:val="9BDE0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1287B"/>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171D6A32"/>
    <w:multiLevelType w:val="hybridMultilevel"/>
    <w:tmpl w:val="8BE6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300ACC"/>
    <w:multiLevelType w:val="hybridMultilevel"/>
    <w:tmpl w:val="CABAFB1C"/>
    <w:lvl w:ilvl="0" w:tplc="0C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12A01"/>
    <w:multiLevelType w:val="hybridMultilevel"/>
    <w:tmpl w:val="726C1CDE"/>
    <w:lvl w:ilvl="0" w:tplc="32FAEE2E">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C724E"/>
    <w:multiLevelType w:val="hybridMultilevel"/>
    <w:tmpl w:val="C8DEA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F79654D"/>
    <w:multiLevelType w:val="hybridMultilevel"/>
    <w:tmpl w:val="2E6E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540544"/>
    <w:multiLevelType w:val="hybridMultilevel"/>
    <w:tmpl w:val="67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A2AA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3"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A14570"/>
    <w:multiLevelType w:val="hybridMultilevel"/>
    <w:tmpl w:val="2F428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E706E8A"/>
    <w:multiLevelType w:val="hybridMultilevel"/>
    <w:tmpl w:val="0BA89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05DF2"/>
    <w:multiLevelType w:val="hybridMultilevel"/>
    <w:tmpl w:val="106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0"/>
  </w:num>
  <w:num w:numId="4">
    <w:abstractNumId w:val="23"/>
  </w:num>
  <w:num w:numId="5">
    <w:abstractNumId w:val="24"/>
  </w:num>
  <w:num w:numId="6">
    <w:abstractNumId w:val="14"/>
  </w:num>
  <w:num w:numId="7">
    <w:abstractNumId w:val="28"/>
  </w:num>
  <w:num w:numId="8">
    <w:abstractNumId w:val="6"/>
  </w:num>
  <w:num w:numId="9">
    <w:abstractNumId w:val="3"/>
  </w:num>
  <w:num w:numId="10">
    <w:abstractNumId w:val="15"/>
  </w:num>
  <w:num w:numId="11">
    <w:abstractNumId w:val="31"/>
  </w:num>
  <w:num w:numId="12">
    <w:abstractNumId w:val="8"/>
  </w:num>
  <w:num w:numId="13">
    <w:abstractNumId w:val="1"/>
  </w:num>
  <w:num w:numId="14">
    <w:abstractNumId w:val="21"/>
  </w:num>
  <w:num w:numId="15">
    <w:abstractNumId w:val="32"/>
  </w:num>
  <w:num w:numId="16">
    <w:abstractNumId w:val="16"/>
  </w:num>
  <w:num w:numId="17">
    <w:abstractNumId w:val="29"/>
  </w:num>
  <w:num w:numId="18">
    <w:abstractNumId w:val="17"/>
  </w:num>
  <w:num w:numId="19">
    <w:abstractNumId w:val="36"/>
  </w:num>
  <w:num w:numId="20">
    <w:abstractNumId w:val="4"/>
  </w:num>
  <w:num w:numId="21">
    <w:abstractNumId w:val="25"/>
  </w:num>
  <w:num w:numId="22">
    <w:abstractNumId w:val="33"/>
  </w:num>
  <w:num w:numId="23">
    <w:abstractNumId w:val="34"/>
  </w:num>
  <w:num w:numId="24">
    <w:abstractNumId w:val="20"/>
  </w:num>
  <w:num w:numId="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9"/>
  </w:num>
  <w:num w:numId="28">
    <w:abstractNumId w:val="7"/>
  </w:num>
  <w:num w:numId="29">
    <w:abstractNumId w:val="13"/>
  </w:num>
  <w:num w:numId="30">
    <w:abstractNumId w:val="9"/>
  </w:num>
  <w:num w:numId="31">
    <w:abstractNumId w:val="22"/>
  </w:num>
  <w:num w:numId="32">
    <w:abstractNumId w:val="10"/>
  </w:num>
  <w:num w:numId="33">
    <w:abstractNumId w:val="12"/>
  </w:num>
  <w:num w:numId="34">
    <w:abstractNumId w:val="18"/>
  </w:num>
  <w:num w:numId="35">
    <w:abstractNumId w:val="26"/>
  </w:num>
  <w:num w:numId="36">
    <w:abstractNumId w:val="27"/>
  </w:num>
  <w:num w:numId="37">
    <w:abstractNumId w:val="5"/>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22E8D"/>
    <w:rsid w:val="000346AE"/>
    <w:rsid w:val="00035F3F"/>
    <w:rsid w:val="00042A9C"/>
    <w:rsid w:val="000507A3"/>
    <w:rsid w:val="00063703"/>
    <w:rsid w:val="00077215"/>
    <w:rsid w:val="000800F3"/>
    <w:rsid w:val="00086325"/>
    <w:rsid w:val="000B79D5"/>
    <w:rsid w:val="000E2A5E"/>
    <w:rsid w:val="000F3D8A"/>
    <w:rsid w:val="000F4002"/>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A5A8C"/>
    <w:rsid w:val="002B58E2"/>
    <w:rsid w:val="002C0A5F"/>
    <w:rsid w:val="002D08D0"/>
    <w:rsid w:val="002D1219"/>
    <w:rsid w:val="002D1964"/>
    <w:rsid w:val="002D60CC"/>
    <w:rsid w:val="002D69C2"/>
    <w:rsid w:val="002E5417"/>
    <w:rsid w:val="002E6E70"/>
    <w:rsid w:val="002F56FC"/>
    <w:rsid w:val="00317746"/>
    <w:rsid w:val="00336EC1"/>
    <w:rsid w:val="00342ECB"/>
    <w:rsid w:val="003463E1"/>
    <w:rsid w:val="00367F5C"/>
    <w:rsid w:val="003A0264"/>
    <w:rsid w:val="003A4C48"/>
    <w:rsid w:val="003B3CCD"/>
    <w:rsid w:val="003D7CE8"/>
    <w:rsid w:val="003F49B3"/>
    <w:rsid w:val="00402757"/>
    <w:rsid w:val="00407993"/>
    <w:rsid w:val="004229C6"/>
    <w:rsid w:val="00431957"/>
    <w:rsid w:val="00432E7F"/>
    <w:rsid w:val="00436EA7"/>
    <w:rsid w:val="004605E5"/>
    <w:rsid w:val="004675C7"/>
    <w:rsid w:val="00474358"/>
    <w:rsid w:val="004841D6"/>
    <w:rsid w:val="004967A4"/>
    <w:rsid w:val="004C022D"/>
    <w:rsid w:val="004C2108"/>
    <w:rsid w:val="0051091B"/>
    <w:rsid w:val="005161AB"/>
    <w:rsid w:val="00536F56"/>
    <w:rsid w:val="00544499"/>
    <w:rsid w:val="00557EB9"/>
    <w:rsid w:val="00565449"/>
    <w:rsid w:val="005A7E92"/>
    <w:rsid w:val="005D2242"/>
    <w:rsid w:val="005E7B5C"/>
    <w:rsid w:val="006057AE"/>
    <w:rsid w:val="006268E7"/>
    <w:rsid w:val="006277D8"/>
    <w:rsid w:val="00630C28"/>
    <w:rsid w:val="00635C93"/>
    <w:rsid w:val="006459BC"/>
    <w:rsid w:val="00646C78"/>
    <w:rsid w:val="00652387"/>
    <w:rsid w:val="00663B81"/>
    <w:rsid w:val="00666A65"/>
    <w:rsid w:val="0068304D"/>
    <w:rsid w:val="006909FB"/>
    <w:rsid w:val="006A6541"/>
    <w:rsid w:val="006E6574"/>
    <w:rsid w:val="007000D1"/>
    <w:rsid w:val="0070718A"/>
    <w:rsid w:val="007257CF"/>
    <w:rsid w:val="00731A8F"/>
    <w:rsid w:val="00750F7C"/>
    <w:rsid w:val="00755DAB"/>
    <w:rsid w:val="0077725A"/>
    <w:rsid w:val="00786A17"/>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8E3E3F"/>
    <w:rsid w:val="00903CC4"/>
    <w:rsid w:val="00912C0B"/>
    <w:rsid w:val="0091385E"/>
    <w:rsid w:val="00934B13"/>
    <w:rsid w:val="00946DB2"/>
    <w:rsid w:val="0095188D"/>
    <w:rsid w:val="0097000F"/>
    <w:rsid w:val="009836BA"/>
    <w:rsid w:val="009F04BD"/>
    <w:rsid w:val="00A359AC"/>
    <w:rsid w:val="00A36186"/>
    <w:rsid w:val="00A47400"/>
    <w:rsid w:val="00A614A3"/>
    <w:rsid w:val="00A7740A"/>
    <w:rsid w:val="00A86856"/>
    <w:rsid w:val="00A87ADD"/>
    <w:rsid w:val="00AC323A"/>
    <w:rsid w:val="00AD0D25"/>
    <w:rsid w:val="00AD24EC"/>
    <w:rsid w:val="00AE329D"/>
    <w:rsid w:val="00AE7C3C"/>
    <w:rsid w:val="00B255C8"/>
    <w:rsid w:val="00B25B77"/>
    <w:rsid w:val="00B268EC"/>
    <w:rsid w:val="00B30351"/>
    <w:rsid w:val="00B42787"/>
    <w:rsid w:val="00B42EFC"/>
    <w:rsid w:val="00B4388D"/>
    <w:rsid w:val="00B622F2"/>
    <w:rsid w:val="00B64315"/>
    <w:rsid w:val="00B65DD0"/>
    <w:rsid w:val="00BA6D1E"/>
    <w:rsid w:val="00BA760F"/>
    <w:rsid w:val="00BB13AF"/>
    <w:rsid w:val="00BB5770"/>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827C9"/>
    <w:rsid w:val="00DA578A"/>
    <w:rsid w:val="00DB0C73"/>
    <w:rsid w:val="00DB42B6"/>
    <w:rsid w:val="00DC41E6"/>
    <w:rsid w:val="00DD46B5"/>
    <w:rsid w:val="00DF70C2"/>
    <w:rsid w:val="00E2193C"/>
    <w:rsid w:val="00E25A37"/>
    <w:rsid w:val="00E4083E"/>
    <w:rsid w:val="00E528B4"/>
    <w:rsid w:val="00E55B1E"/>
    <w:rsid w:val="00E610F0"/>
    <w:rsid w:val="00E80442"/>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rsid w:val="00F96183"/>
    <w:rPr>
      <w:rFonts w:ascii="Times New Roman" w:eastAsia="Times New Roman" w:hAnsi="Times New Roman"/>
      <w:snapToGrid w:val="0"/>
      <w:sz w:val="24"/>
      <w:szCs w:val="24"/>
      <w:lang w:eastAsia="en-US"/>
    </w:rPr>
  </w:style>
  <w:style w:type="paragraph" w:styleId="Footer">
    <w:name w:val="footer"/>
    <w:basedOn w:val="Normal"/>
    <w:link w:val="FooterChar"/>
    <w:unhideWhenUsed/>
    <w:rsid w:val="00F96183"/>
    <w:pPr>
      <w:tabs>
        <w:tab w:val="center" w:pos="4320"/>
        <w:tab w:val="right" w:pos="8640"/>
      </w:tabs>
    </w:pPr>
  </w:style>
  <w:style w:type="character" w:customStyle="1" w:styleId="FooterChar">
    <w:name w:val="Footer Char"/>
    <w:basedOn w:val="DefaultParagraphFont"/>
    <w:link w:val="Footer"/>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uiPriority w:val="99"/>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 w:type="paragraph" w:customStyle="1" w:styleId="Style1">
    <w:name w:val="Style1"/>
    <w:basedOn w:val="Normal"/>
    <w:rsid w:val="00D827C9"/>
    <w:pPr>
      <w:widowControl/>
      <w:spacing w:line="360" w:lineRule="auto"/>
    </w:pPr>
    <w:rPr>
      <w:rFonts w:ascii="Arial" w:hAnsi="Arial"/>
      <w:b/>
      <w:snapToGrid/>
      <w:sz w:val="26"/>
      <w:szCs w:val="20"/>
    </w:rPr>
  </w:style>
  <w:style w:type="character" w:customStyle="1" w:styleId="contact-telephone">
    <w:name w:val="contact-telephone"/>
    <w:basedOn w:val="DefaultParagraphFont"/>
    <w:rsid w:val="000F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542192">
      <w:bodyDiv w:val="1"/>
      <w:marLeft w:val="0"/>
      <w:marRight w:val="0"/>
      <w:marTop w:val="0"/>
      <w:marBottom w:val="0"/>
      <w:divBdr>
        <w:top w:val="none" w:sz="0" w:space="0" w:color="auto"/>
        <w:left w:val="none" w:sz="0" w:space="0" w:color="auto"/>
        <w:bottom w:val="none" w:sz="0" w:space="0" w:color="auto"/>
        <w:right w:val="none" w:sz="0" w:space="0" w:color="auto"/>
      </w:divBdr>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086481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5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aboutus/policies/complaintspolic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8C8300-805B-4AF5-BD22-DF515633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Jamie Sharp</cp:lastModifiedBy>
  <cp:revision>5</cp:revision>
  <cp:lastPrinted>2017-09-01T03:27:00Z</cp:lastPrinted>
  <dcterms:created xsi:type="dcterms:W3CDTF">2017-09-01T23:06:00Z</dcterms:created>
  <dcterms:modified xsi:type="dcterms:W3CDTF">2017-09-21T22:55:00Z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